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1" w:rsidRDefault="0042621D" w:rsidP="002D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формированию</w:t>
      </w:r>
      <w:r w:rsidR="000D0771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бюджетных обязательствах</w:t>
      </w:r>
      <w:r w:rsidR="002D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85E" w:rsidRPr="00306FA1">
        <w:rPr>
          <w:rFonts w:ascii="Times New Roman" w:hAnsi="Times New Roman" w:cs="Times New Roman"/>
          <w:b/>
          <w:bCs/>
          <w:sz w:val="28"/>
          <w:szCs w:val="28"/>
        </w:rPr>
        <w:t>в программном комплексе «Бюджет-С</w:t>
      </w:r>
      <w:r w:rsidR="002D685E">
        <w:rPr>
          <w:rFonts w:ascii="Times New Roman" w:hAnsi="Times New Roman" w:cs="Times New Roman"/>
          <w:b/>
          <w:bCs/>
          <w:sz w:val="28"/>
          <w:szCs w:val="28"/>
        </w:rPr>
        <w:t>МАРТ</w:t>
      </w:r>
      <w:proofErr w:type="gramStart"/>
      <w:r w:rsidR="002D685E" w:rsidRPr="00306FA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="002D685E">
        <w:rPr>
          <w:rFonts w:ascii="Times New Roman" w:hAnsi="Times New Roman" w:cs="Times New Roman"/>
          <w:b/>
          <w:bCs/>
          <w:sz w:val="28"/>
          <w:szCs w:val="28"/>
        </w:rPr>
        <w:t>ро»</w:t>
      </w:r>
      <w:bookmarkStart w:id="0" w:name="_GoBack"/>
      <w:bookmarkEnd w:id="0"/>
    </w:p>
    <w:p w:rsidR="0042621D" w:rsidRPr="00306FA1" w:rsidRDefault="0042621D" w:rsidP="00BA2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3C1B">
        <w:rPr>
          <w:rFonts w:eastAsiaTheme="minorHAnsi"/>
          <w:sz w:val="28"/>
          <w:szCs w:val="28"/>
          <w:lang w:eastAsia="en-US"/>
        </w:rPr>
        <w:t>Сведения о бюджетных обязательствах (далее БО) – документ предназначен для учета БО, вытекающих из договоров</w:t>
      </w:r>
      <w:r>
        <w:rPr>
          <w:rFonts w:eastAsiaTheme="minorHAnsi"/>
          <w:sz w:val="28"/>
          <w:szCs w:val="28"/>
          <w:lang w:eastAsia="en-US"/>
        </w:rPr>
        <w:t>, государственных (муниципальных) контрактов, нормативно-правовых актов, соглашений о предоставлении субсидий</w:t>
      </w:r>
      <w:r w:rsidRPr="00623C1B">
        <w:rPr>
          <w:rFonts w:eastAsiaTheme="minorHAnsi"/>
          <w:sz w:val="28"/>
          <w:szCs w:val="28"/>
          <w:lang w:eastAsia="en-US"/>
        </w:rPr>
        <w:t xml:space="preserve"> и иных обязательств, подлежащих исполнению за счет средств бюджета. </w:t>
      </w:r>
    </w:p>
    <w:p w:rsidR="000D0771" w:rsidRDefault="008902D3" w:rsidP="00BA268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</w:t>
      </w:r>
      <w:r w:rsidR="00914020" w:rsidRPr="00914020">
        <w:rPr>
          <w:rFonts w:ascii="Times New Roman" w:hAnsi="Times New Roman" w:cs="Times New Roman"/>
          <w:sz w:val="28"/>
          <w:szCs w:val="28"/>
        </w:rPr>
        <w:t xml:space="preserve"> </w:t>
      </w:r>
      <w:r w:rsidR="00914020" w:rsidRPr="00C93D2E">
        <w:rPr>
          <w:rFonts w:ascii="Times New Roman" w:hAnsi="Times New Roman" w:cs="Times New Roman"/>
          <w:sz w:val="28"/>
          <w:szCs w:val="28"/>
        </w:rPr>
        <w:t>Министерства финансов Забайкальского края о</w:t>
      </w:r>
      <w:r w:rsidR="00914020">
        <w:rPr>
          <w:rFonts w:ascii="Times New Roman" w:hAnsi="Times New Roman" w:cs="Times New Roman"/>
          <w:sz w:val="28"/>
          <w:szCs w:val="28"/>
        </w:rPr>
        <w:t>т 28 декабря 2021 года № 19-нпа (далее – Приказ)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формируются получателем средств бюджета Забайкальского края в форме электронного документа в государственной информационной системе «Автоматизированная система управления региональными финансами Забайкальского края» (далее - система) и передаются в систему удаленного финансового документооборота (СУФД) </w:t>
      </w:r>
      <w:r w:rsidR="00914020" w:rsidRPr="00914020">
        <w:rPr>
          <w:rFonts w:ascii="Times New Roman" w:hAnsi="Times New Roman" w:cs="Times New Roman"/>
          <w:sz w:val="28"/>
          <w:szCs w:val="28"/>
        </w:rPr>
        <w:t>Федерального казначейства (далее также – СУФД, информационная система Управления Федерального казначейства по</w:t>
      </w:r>
      <w:proofErr w:type="gramEnd"/>
      <w:r w:rsidR="00914020" w:rsidRPr="00914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020" w:rsidRPr="00914020">
        <w:rPr>
          <w:rFonts w:ascii="Times New Roman" w:hAnsi="Times New Roman" w:cs="Times New Roman"/>
          <w:sz w:val="28"/>
          <w:szCs w:val="28"/>
        </w:rPr>
        <w:t>Забайкальскому краю), где подписываются усиленной квалифицированной электронной подписью (далее – электронная подпись) руководителя или иного лица, уполномоченного действовать от имени получателя средств бюджета Забайкальского края</w:t>
      </w:r>
      <w:r w:rsidR="008B72D2">
        <w:rPr>
          <w:rFonts w:ascii="Times New Roman" w:hAnsi="Times New Roman" w:cs="Times New Roman"/>
          <w:sz w:val="28"/>
          <w:szCs w:val="28"/>
        </w:rPr>
        <w:t xml:space="preserve"> в СУФД.</w:t>
      </w:r>
      <w:proofErr w:type="gramEnd"/>
    </w:p>
    <w:p w:rsidR="001B2CEE" w:rsidRPr="001B2CEE" w:rsidRDefault="001B2CEE" w:rsidP="001B2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B2CEE">
        <w:rPr>
          <w:rFonts w:ascii="Times New Roman" w:hAnsi="Times New Roman" w:cs="Times New Roman"/>
          <w:sz w:val="28"/>
          <w:szCs w:val="28"/>
          <w:u w:val="single"/>
        </w:rPr>
        <w:t>Основания для возникновения бюджетного обязательства: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Государственный контракт (договор) на поставку товаров, выполнение работ, оказание услуг для обеспечения нужд Забайкальского края, сведения о котором подлежат включению в реестр контрактов;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нужд, международный договор (соглашение) за исключением договоров;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Соглашение о предоставлении из бюджета Забайкальского края местному бюджету межбюджетного трансферта в форме субсидии, иного межбюджетного трансферта;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Нормативный правовой акт, предусматривающий предоставление из бюджета Забайкальского края местному бюджету в форме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Договор (соглашение) о предоставлении субсидии бюджетному или автономному учреждению Забайкальского края;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14D">
        <w:rPr>
          <w:rFonts w:ascii="Times New Roman" w:eastAsia="Calibri" w:hAnsi="Times New Roman" w:cs="Times New Roman"/>
          <w:bCs/>
          <w:sz w:val="28"/>
          <w:szCs w:val="28"/>
        </w:rPr>
        <w:t xml:space="preserve">Договор (соглашение) о предоставлении субсидии юридическому лицу, иному юридическому лицу (за исключением субсидии бюджетному или </w:t>
      </w:r>
      <w:r w:rsidRPr="004621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автономному учреждению Забайкальского края, крестьянскому (фермерскому) хозяйству, сельскохозяйственному потребительскому кооперативу)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 (соглашение) о предоставлении субсидии и бюджетных инвестиций юридическому лицу);</w:t>
      </w:r>
      <w:proofErr w:type="gramEnd"/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лицу);</w:t>
      </w:r>
    </w:p>
    <w:p w:rsidR="001B2CEE" w:rsidRPr="0046214D" w:rsidRDefault="001B2CEE" w:rsidP="001B2CE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Исполнительный документ (исполнительный лист, судебный приказ) (далее – исполнительный  документ), за исключением исполнительных документов, предъявленных к бюджету Забайкальского края;</w:t>
      </w:r>
    </w:p>
    <w:p w:rsidR="001B2CEE" w:rsidRPr="00BA2682" w:rsidRDefault="001B2CEE" w:rsidP="00BA2682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D">
        <w:rPr>
          <w:rFonts w:ascii="Times New Roman" w:eastAsia="Calibri" w:hAnsi="Times New Roman" w:cs="Times New Roman"/>
          <w:bCs/>
          <w:sz w:val="28"/>
          <w:szCs w:val="28"/>
        </w:rPr>
        <w:t>Решение налогового органа о взыскании налога, сбора, пеней и штрафов (далее – решение  налогового органа).</w:t>
      </w:r>
    </w:p>
    <w:p w:rsidR="00BA2682" w:rsidRPr="00BA2682" w:rsidRDefault="00BA2682" w:rsidP="00BA2682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3C1B">
        <w:rPr>
          <w:b/>
          <w:sz w:val="28"/>
          <w:szCs w:val="28"/>
        </w:rPr>
        <w:t>Формирование документа «Бюджетное обязательство»</w:t>
      </w:r>
      <w:r>
        <w:rPr>
          <w:b/>
          <w:sz w:val="28"/>
          <w:szCs w:val="28"/>
        </w:rPr>
        <w:t xml:space="preserve"> </w:t>
      </w:r>
      <w:r w:rsidRPr="0022480B">
        <w:rPr>
          <w:b/>
          <w:sz w:val="28"/>
          <w:szCs w:val="28"/>
          <w:u w:val="single"/>
        </w:rPr>
        <w:t>казенного учреждения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44265">
        <w:rPr>
          <w:rFonts w:eastAsiaTheme="minorHAnsi"/>
          <w:sz w:val="28"/>
          <w:szCs w:val="28"/>
          <w:lang w:eastAsia="en-US"/>
        </w:rPr>
        <w:t>Заполнение документа осуществляется в</w:t>
      </w:r>
      <w:r w:rsidR="008438C4">
        <w:rPr>
          <w:rFonts w:eastAsiaTheme="minorHAnsi"/>
          <w:sz w:val="28"/>
          <w:szCs w:val="28"/>
          <w:lang w:eastAsia="en-US"/>
        </w:rPr>
        <w:t xml:space="preserve"> программном </w:t>
      </w:r>
      <w:proofErr w:type="gramStart"/>
      <w:r w:rsidR="008438C4">
        <w:rPr>
          <w:rFonts w:eastAsiaTheme="minorHAnsi"/>
          <w:sz w:val="28"/>
          <w:szCs w:val="28"/>
          <w:lang w:eastAsia="en-US"/>
        </w:rPr>
        <w:t>комплексе</w:t>
      </w:r>
      <w:proofErr w:type="gramEnd"/>
      <w:r w:rsidR="008438C4">
        <w:rPr>
          <w:rFonts w:eastAsiaTheme="minorHAnsi"/>
          <w:sz w:val="28"/>
          <w:szCs w:val="28"/>
          <w:lang w:eastAsia="en-US"/>
        </w:rPr>
        <w:t xml:space="preserve"> «Бюджет-СМАРТ ПРО» в</w:t>
      </w:r>
      <w:r w:rsidRPr="00D44265">
        <w:rPr>
          <w:rFonts w:eastAsiaTheme="minorHAnsi"/>
          <w:sz w:val="28"/>
          <w:szCs w:val="28"/>
          <w:lang w:eastAsia="en-US"/>
        </w:rPr>
        <w:t xml:space="preserve"> режиме </w:t>
      </w:r>
      <w:r w:rsidRPr="008C6914">
        <w:rPr>
          <w:rFonts w:eastAsiaTheme="minorHAnsi"/>
          <w:sz w:val="28"/>
          <w:szCs w:val="28"/>
          <w:u w:val="single"/>
          <w:lang w:eastAsia="en-US"/>
        </w:rPr>
        <w:t>ДОКУМЕНТЫ \</w:t>
      </w:r>
      <w:r w:rsidRPr="008C6914">
        <w:rPr>
          <w:sz w:val="28"/>
          <w:szCs w:val="28"/>
          <w:u w:val="single"/>
        </w:rPr>
        <w:t xml:space="preserve"> Бюджетные и денежные обязательства \ Бюджетное обязательство</w:t>
      </w:r>
      <w:r w:rsidR="006B48DC">
        <w:rPr>
          <w:sz w:val="28"/>
          <w:szCs w:val="28"/>
        </w:rPr>
        <w:t xml:space="preserve"> (рис.1</w:t>
      </w:r>
      <w:r w:rsidRPr="00623C1B">
        <w:rPr>
          <w:sz w:val="28"/>
          <w:szCs w:val="28"/>
        </w:rPr>
        <w:t xml:space="preserve">). </w:t>
      </w:r>
    </w:p>
    <w:p w:rsidR="000D0771" w:rsidRDefault="006B48DC" w:rsidP="000D0771">
      <w:pPr>
        <w:pStyle w:val="a3"/>
        <w:jc w:val="center"/>
      </w:pPr>
      <w:r>
        <w:rPr>
          <w:noProof/>
        </w:rPr>
        <w:drawing>
          <wp:inline distT="0" distB="0" distL="0" distR="0" wp14:anchorId="3C88EB79" wp14:editId="7D8C19DC">
            <wp:extent cx="41243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  <w:r w:rsidRPr="00623C1B">
        <w:rPr>
          <w:i/>
        </w:rPr>
        <w:t xml:space="preserve">Рисунок </w:t>
      </w:r>
      <w:r w:rsidR="006B48DC">
        <w:rPr>
          <w:i/>
        </w:rPr>
        <w:t>1</w:t>
      </w:r>
      <w:r w:rsidRPr="00623C1B">
        <w:rPr>
          <w:i/>
        </w:rPr>
        <w:t>.</w:t>
      </w:r>
      <w:r>
        <w:t>Режим «Бюджетное обязательство»</w:t>
      </w:r>
    </w:p>
    <w:p w:rsidR="000D0771" w:rsidRPr="002E181A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1B2CEE" w:rsidRPr="001B2CEE" w:rsidRDefault="001B2CEE" w:rsidP="001B2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БО, сформированные в программе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-Торги КС» автоматически загружаются в программный комплекс «Бюджет-СМАРТ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ро» с аналитическим признаком «Документ сформирован из АИС ГЗ». Данные БО также необходимо выгружать в СУФД, а затем принимать извещение о постановке на учет.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sz w:val="28"/>
          <w:szCs w:val="28"/>
        </w:rPr>
        <w:t>При заполнении документа «Бюджетное обязательство» заполняются следующие поля: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23C1B">
        <w:rPr>
          <w:b/>
          <w:sz w:val="28"/>
          <w:szCs w:val="28"/>
        </w:rPr>
        <w:t xml:space="preserve">Номер – </w:t>
      </w:r>
      <w:r w:rsidRPr="00623C1B">
        <w:rPr>
          <w:sz w:val="28"/>
          <w:szCs w:val="28"/>
        </w:rPr>
        <w:t>порядковый номер документа, заполняется автоматически при сохранении документа;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 xml:space="preserve">Дата – </w:t>
      </w:r>
      <w:r w:rsidRPr="00623C1B">
        <w:rPr>
          <w:sz w:val="28"/>
          <w:szCs w:val="28"/>
        </w:rPr>
        <w:t>дата бюджетного обязательства;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lastRenderedPageBreak/>
        <w:t xml:space="preserve">Лицевой счет – </w:t>
      </w:r>
      <w:r>
        <w:rPr>
          <w:b/>
          <w:sz w:val="28"/>
          <w:szCs w:val="28"/>
        </w:rPr>
        <w:t xml:space="preserve">03... </w:t>
      </w:r>
      <w:r w:rsidRPr="00623C1B">
        <w:rPr>
          <w:sz w:val="28"/>
          <w:szCs w:val="28"/>
        </w:rPr>
        <w:t xml:space="preserve">лицевой счет </w:t>
      </w:r>
      <w:r>
        <w:rPr>
          <w:sz w:val="28"/>
          <w:szCs w:val="28"/>
        </w:rPr>
        <w:t>казенного учреждения</w:t>
      </w:r>
      <w:r w:rsidRPr="00623C1B">
        <w:rPr>
          <w:sz w:val="28"/>
          <w:szCs w:val="28"/>
        </w:rPr>
        <w:t xml:space="preserve">, на котором </w:t>
      </w:r>
      <w:proofErr w:type="gramStart"/>
      <w:r w:rsidRPr="00623C1B">
        <w:rPr>
          <w:sz w:val="28"/>
          <w:szCs w:val="28"/>
        </w:rPr>
        <w:t>будет учтено БО</w:t>
      </w:r>
      <w:r w:rsidR="009F4FA6">
        <w:rPr>
          <w:sz w:val="28"/>
          <w:szCs w:val="28"/>
        </w:rPr>
        <w:t xml:space="preserve"> </w:t>
      </w:r>
      <w:r w:rsidR="009F4FA6" w:rsidRPr="009F4FA6">
        <w:rPr>
          <w:sz w:val="28"/>
          <w:szCs w:val="28"/>
        </w:rPr>
        <w:t>и с которого осуществляются</w:t>
      </w:r>
      <w:proofErr w:type="gramEnd"/>
      <w:r w:rsidR="009F4FA6" w:rsidRPr="009F4FA6">
        <w:rPr>
          <w:sz w:val="28"/>
          <w:szCs w:val="28"/>
        </w:rPr>
        <w:t xml:space="preserve"> выплаты в счет БО</w:t>
      </w:r>
      <w:r w:rsidRPr="00623C1B">
        <w:rPr>
          <w:sz w:val="28"/>
          <w:szCs w:val="28"/>
        </w:rPr>
        <w:t>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23C1B">
        <w:rPr>
          <w:b/>
          <w:sz w:val="28"/>
          <w:szCs w:val="28"/>
        </w:rPr>
        <w:t>Дата проводки</w:t>
      </w:r>
      <w:r w:rsidRPr="00623C1B">
        <w:rPr>
          <w:sz w:val="28"/>
          <w:szCs w:val="28"/>
        </w:rPr>
        <w:t xml:space="preserve"> – дата принятия БО к учету;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>Учетный № БО</w:t>
      </w:r>
      <w:r>
        <w:rPr>
          <w:sz w:val="28"/>
          <w:szCs w:val="28"/>
        </w:rPr>
        <w:t xml:space="preserve"> – присвоенный БО номер,</w:t>
      </w:r>
      <w:r w:rsidRPr="00623C1B">
        <w:rPr>
          <w:sz w:val="28"/>
          <w:szCs w:val="28"/>
        </w:rPr>
        <w:t xml:space="preserve"> при приеме извещения о постановке на учет, данное поле заполняется автоматически;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 xml:space="preserve">Тип БО – </w:t>
      </w:r>
      <w:r w:rsidRPr="00623C1B">
        <w:rPr>
          <w:sz w:val="28"/>
          <w:szCs w:val="28"/>
        </w:rPr>
        <w:t>выбирается тип основания для возникновения БО («Закупка» или «Прочее»);</w:t>
      </w:r>
    </w:p>
    <w:p w:rsidR="000D0771" w:rsidRPr="00623C1B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 xml:space="preserve">Аванс БО – </w:t>
      </w:r>
      <w:r w:rsidRPr="00623C1B">
        <w:rPr>
          <w:sz w:val="28"/>
          <w:szCs w:val="28"/>
        </w:rPr>
        <w:t xml:space="preserve">сумма аванса по </w:t>
      </w:r>
      <w:proofErr w:type="gramStart"/>
      <w:r w:rsidRPr="00623C1B">
        <w:rPr>
          <w:sz w:val="28"/>
          <w:szCs w:val="28"/>
        </w:rPr>
        <w:t>данному</w:t>
      </w:r>
      <w:proofErr w:type="gramEnd"/>
      <w:r w:rsidRPr="00623C1B">
        <w:rPr>
          <w:sz w:val="28"/>
          <w:szCs w:val="28"/>
        </w:rPr>
        <w:t xml:space="preserve"> БО. При переносе </w:t>
      </w:r>
      <w:proofErr w:type="gramStart"/>
      <w:r w:rsidRPr="00623C1B">
        <w:rPr>
          <w:sz w:val="28"/>
          <w:szCs w:val="28"/>
        </w:rPr>
        <w:t>неисполненных</w:t>
      </w:r>
      <w:proofErr w:type="gramEnd"/>
      <w:r w:rsidRPr="00623C1B">
        <w:rPr>
          <w:sz w:val="28"/>
          <w:szCs w:val="28"/>
        </w:rPr>
        <w:t xml:space="preserve"> БО здесь сумма остатка аванса прошлогоднего БО. Сумма аванса БО и сумма аванса на вкладке «Документ-основание» отличаются. Сумма аванса на вкладке «Документ-основание» </w:t>
      </w:r>
      <w:r w:rsidRPr="00623C1B">
        <w:rPr>
          <w:b/>
          <w:sz w:val="28"/>
          <w:szCs w:val="28"/>
        </w:rPr>
        <w:t>–</w:t>
      </w:r>
      <w:r w:rsidRPr="00623C1B">
        <w:rPr>
          <w:sz w:val="28"/>
          <w:szCs w:val="28"/>
        </w:rPr>
        <w:t xml:space="preserve"> это сумма аванса контракта/договора;</w:t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 xml:space="preserve">Документ прошлых лет – </w:t>
      </w:r>
      <w:r w:rsidRPr="00623C1B">
        <w:rPr>
          <w:sz w:val="28"/>
          <w:szCs w:val="28"/>
        </w:rPr>
        <w:t>признак перенесенного неисполненного БО</w:t>
      </w:r>
      <w:r>
        <w:rPr>
          <w:sz w:val="28"/>
          <w:szCs w:val="28"/>
        </w:rPr>
        <w:t xml:space="preserve"> предыдущего финансового года. </w:t>
      </w:r>
      <w:r w:rsidRPr="00623C1B">
        <w:rPr>
          <w:sz w:val="28"/>
          <w:szCs w:val="28"/>
        </w:rPr>
        <w:t>При включении признака «Документ прошлых лет» документу автоматически присваивается аналитический</w:t>
      </w:r>
      <w:r>
        <w:rPr>
          <w:sz w:val="28"/>
          <w:szCs w:val="28"/>
        </w:rPr>
        <w:t xml:space="preserve"> признак «Документ прошлых лет»</w:t>
      </w:r>
      <w:r w:rsidRPr="00C1221E">
        <w:rPr>
          <w:sz w:val="28"/>
          <w:szCs w:val="28"/>
        </w:rPr>
        <w:t xml:space="preserve"> </w:t>
      </w:r>
      <w:r w:rsidRPr="00623C1B">
        <w:rPr>
          <w:sz w:val="28"/>
          <w:szCs w:val="28"/>
        </w:rPr>
        <w:t>(рис.</w:t>
      </w:r>
      <w:r w:rsidR="006B48DC">
        <w:rPr>
          <w:sz w:val="28"/>
          <w:szCs w:val="28"/>
        </w:rPr>
        <w:t>2</w:t>
      </w:r>
      <w:r w:rsidRPr="00623C1B">
        <w:rPr>
          <w:sz w:val="28"/>
          <w:szCs w:val="28"/>
        </w:rPr>
        <w:t>).</w:t>
      </w:r>
    </w:p>
    <w:p w:rsidR="006B48DC" w:rsidRDefault="006B48DC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D0771" w:rsidRPr="00623C1B" w:rsidRDefault="006B48DC" w:rsidP="006B48DC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7A93DB3" wp14:editId="18816C1F">
            <wp:extent cx="5940425" cy="10931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 w:rsidR="006B48DC">
        <w:rPr>
          <w:i/>
        </w:rPr>
        <w:t>2</w:t>
      </w:r>
      <w:r w:rsidRPr="009318A1">
        <w:rPr>
          <w:i/>
        </w:rPr>
        <w:t>.</w:t>
      </w:r>
      <w:r>
        <w:t xml:space="preserve"> Сведения о БО</w:t>
      </w:r>
    </w:p>
    <w:p w:rsidR="000D0771" w:rsidRPr="002E181A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sz w:val="28"/>
          <w:szCs w:val="28"/>
        </w:rPr>
        <w:t xml:space="preserve">На вкладке </w:t>
      </w:r>
      <w:r w:rsidRPr="00623C1B">
        <w:rPr>
          <w:b/>
          <w:bCs/>
          <w:sz w:val="28"/>
          <w:szCs w:val="28"/>
        </w:rPr>
        <w:t>«Документ-основание»</w:t>
      </w:r>
      <w:r w:rsidRPr="00623C1B">
        <w:rPr>
          <w:sz w:val="28"/>
          <w:szCs w:val="28"/>
        </w:rPr>
        <w:t xml:space="preserve"> указываются реквизиты документа, на</w:t>
      </w:r>
      <w:r>
        <w:rPr>
          <w:sz w:val="28"/>
          <w:szCs w:val="28"/>
        </w:rPr>
        <w:t xml:space="preserve"> основании которого принято БО</w:t>
      </w:r>
      <w:r w:rsidR="0046214D">
        <w:rPr>
          <w:sz w:val="28"/>
          <w:szCs w:val="28"/>
        </w:rPr>
        <w:t xml:space="preserve"> (рис. 3)</w:t>
      </w:r>
      <w:r>
        <w:rPr>
          <w:sz w:val="28"/>
          <w:szCs w:val="28"/>
        </w:rPr>
        <w:t>.</w:t>
      </w:r>
    </w:p>
    <w:p w:rsidR="0046214D" w:rsidRDefault="0046214D" w:rsidP="0046214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7A5C31" wp14:editId="41C70027">
            <wp:extent cx="5940425" cy="2304681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4D" w:rsidRPr="0046214D" w:rsidRDefault="0046214D" w:rsidP="0046214D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>
        <w:rPr>
          <w:i/>
        </w:rPr>
        <w:t>3</w:t>
      </w:r>
      <w:r w:rsidRPr="009318A1">
        <w:rPr>
          <w:i/>
        </w:rPr>
        <w:t>.</w:t>
      </w:r>
      <w:r>
        <w:t xml:space="preserve"> Вкладка «Документ-основание»</w:t>
      </w:r>
    </w:p>
    <w:p w:rsidR="0046214D" w:rsidRPr="00623C1B" w:rsidRDefault="0046214D" w:rsidP="001B2CE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252"/>
        <w:gridCol w:w="4822"/>
      </w:tblGrid>
      <w:tr w:rsidR="000D0771" w:rsidRPr="00745D14" w:rsidTr="00BA2682">
        <w:tc>
          <w:tcPr>
            <w:tcW w:w="2284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Разделы</w:t>
            </w:r>
          </w:p>
        </w:tc>
        <w:tc>
          <w:tcPr>
            <w:tcW w:w="2252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Подразделы</w:t>
            </w:r>
          </w:p>
        </w:tc>
        <w:tc>
          <w:tcPr>
            <w:tcW w:w="4822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Описание</w:t>
            </w:r>
          </w:p>
        </w:tc>
      </w:tr>
      <w:tr w:rsidR="000D0771" w:rsidTr="00BA2682">
        <w:tc>
          <w:tcPr>
            <w:tcW w:w="2284" w:type="dxa"/>
            <w:vMerge w:val="restart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Документ-основание</w:t>
            </w: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Вид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вид документа-основания выбирается из выпадающего списка значений «Договор», «Контракт», «Соглашение» и т.д.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Наименование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полное наименование документа-основания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Номер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номер документа-основания заполняется </w:t>
            </w:r>
            <w:r>
              <w:lastRenderedPageBreak/>
              <w:t>вручную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Дата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contextualSpacing/>
              <w:jc w:val="both"/>
            </w:pPr>
            <w:r>
              <w:t>дата подписания документа-основания (если документ имеет несколько дат, то указывается самая поздняя дата)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Сумма в валюте БО</w:t>
            </w:r>
          </w:p>
        </w:tc>
        <w:tc>
          <w:tcPr>
            <w:tcW w:w="4822" w:type="dxa"/>
          </w:tcPr>
          <w:p w:rsidR="000D0771" w:rsidRDefault="000D0771" w:rsidP="009F4FA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сумма по документу-основанию в </w:t>
            </w:r>
            <w:proofErr w:type="gramStart"/>
            <w:r w:rsidR="009F4FA6">
              <w:t>рублях</w:t>
            </w:r>
            <w:proofErr w:type="gramEnd"/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Предмет</w:t>
            </w:r>
          </w:p>
        </w:tc>
        <w:tc>
          <w:tcPr>
            <w:tcW w:w="4822" w:type="dxa"/>
          </w:tcPr>
          <w:p w:rsidR="000D0771" w:rsidRPr="00A4466D" w:rsidRDefault="000D0771" w:rsidP="00BA2682">
            <w:pPr>
              <w:pStyle w:val="a3"/>
              <w:contextualSpacing/>
              <w:jc w:val="both"/>
              <w:rPr>
                <w:highlight w:val="yellow"/>
              </w:rPr>
            </w:pPr>
            <w:r w:rsidRPr="00086902">
              <w:t>наименование товара, работы, услуги согласно документу-основанию</w:t>
            </w:r>
          </w:p>
        </w:tc>
      </w:tr>
      <w:tr w:rsidR="000D0771" w:rsidTr="00BA2682">
        <w:tc>
          <w:tcPr>
            <w:tcW w:w="2284" w:type="dxa"/>
            <w:vMerge w:val="restart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Контракт</w:t>
            </w: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Дата НД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contextualSpacing/>
              <w:jc w:val="both"/>
            </w:pPr>
            <w:r>
              <w:t>дата начала действия документа-основания (если документ не содержит указаний на дату начала его действия, то в поле «Дата НД» вводится дата подписания основного документа)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Дата ОД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дата окончания действия документа-основания (при ее отсутствии поле не заполняется)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Способ заключения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заполняется выбором из справочника «Способы размещения заказов»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% аванса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процент авансового платежа, установленный документом-основанием от общей суммы обязательства</w:t>
            </w:r>
          </w:p>
        </w:tc>
      </w:tr>
      <w:tr w:rsidR="000D0771" w:rsidTr="00BA2682">
        <w:tc>
          <w:tcPr>
            <w:tcW w:w="2284" w:type="dxa"/>
            <w:vMerge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5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Сумма аванса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размер авансового платежа рассчитывается автоматически при заполнении поля «% аванса», при редактировании значения в данном поле производится автоматический пересчет значения в поле «% аванса»</w:t>
            </w:r>
          </w:p>
        </w:tc>
      </w:tr>
      <w:tr w:rsidR="000D0771" w:rsidRPr="00002AD0" w:rsidTr="00BA2682">
        <w:tc>
          <w:tcPr>
            <w:tcW w:w="2284" w:type="dxa"/>
            <w:vMerge w:val="restart"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  <w:r w:rsidRPr="00EA3FB5">
              <w:t xml:space="preserve">Уведомление о поступлении ИД/РНО </w:t>
            </w:r>
          </w:p>
        </w:tc>
        <w:tc>
          <w:tcPr>
            <w:tcW w:w="2252" w:type="dxa"/>
          </w:tcPr>
          <w:p w:rsidR="000D0771" w:rsidRPr="00CF0428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F0428">
              <w:t>Номер</w:t>
            </w:r>
          </w:p>
        </w:tc>
        <w:tc>
          <w:tcPr>
            <w:tcW w:w="4822" w:type="dxa"/>
            <w:vMerge w:val="restart"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  <w:r w:rsidRPr="00EA3FB5">
              <w:t xml:space="preserve">номер и дата </w:t>
            </w:r>
            <w:r>
              <w:t>у</w:t>
            </w:r>
            <w:r w:rsidRPr="00CF0428">
              <w:t>ведомлени</w:t>
            </w:r>
            <w:r>
              <w:t>я</w:t>
            </w:r>
            <w:r w:rsidRPr="00CF0428">
              <w:t xml:space="preserve"> о поступлении ИД/РНО</w:t>
            </w:r>
            <w:r>
              <w:t xml:space="preserve"> </w:t>
            </w:r>
            <w:r w:rsidRPr="00EA3FB5">
              <w:t>(исполнительного документа/ решения налогового органа</w:t>
            </w:r>
            <w:r w:rsidRPr="00CF0428">
              <w:t>)</w:t>
            </w:r>
          </w:p>
        </w:tc>
      </w:tr>
      <w:tr w:rsidR="000D0771" w:rsidRPr="00002AD0" w:rsidTr="00BA2682">
        <w:tc>
          <w:tcPr>
            <w:tcW w:w="2284" w:type="dxa"/>
            <w:vMerge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252" w:type="dxa"/>
          </w:tcPr>
          <w:p w:rsidR="000D0771" w:rsidRPr="00CF0428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F0428">
              <w:t>Дата</w:t>
            </w:r>
          </w:p>
        </w:tc>
        <w:tc>
          <w:tcPr>
            <w:tcW w:w="4822" w:type="dxa"/>
            <w:vMerge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</w:p>
        </w:tc>
      </w:tr>
      <w:tr w:rsidR="000D0771" w:rsidTr="00BA2682">
        <w:tc>
          <w:tcPr>
            <w:tcW w:w="4536" w:type="dxa"/>
            <w:gridSpan w:val="2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Реестровый номер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заполняется вручную при наличии</w:t>
            </w:r>
          </w:p>
        </w:tc>
      </w:tr>
      <w:tr w:rsidR="000D0771" w:rsidTr="00BA2682">
        <w:tc>
          <w:tcPr>
            <w:tcW w:w="4536" w:type="dxa"/>
            <w:gridSpan w:val="2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Основание для не включения договора в реестр контрактов</w:t>
            </w:r>
          </w:p>
        </w:tc>
        <w:tc>
          <w:tcPr>
            <w:tcW w:w="4822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заполняется вручную при наличии</w:t>
            </w:r>
          </w:p>
        </w:tc>
      </w:tr>
    </w:tbl>
    <w:p w:rsidR="000D0771" w:rsidRDefault="000D0771" w:rsidP="000D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CC3" w:rsidRPr="00C23CC3" w:rsidRDefault="00C23CC3" w:rsidP="000D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18A1">
        <w:rPr>
          <w:sz w:val="28"/>
          <w:szCs w:val="28"/>
        </w:rPr>
        <w:t xml:space="preserve">На вкладке </w:t>
      </w:r>
      <w:r w:rsidRPr="009318A1">
        <w:rPr>
          <w:b/>
          <w:bCs/>
          <w:sz w:val="28"/>
          <w:szCs w:val="28"/>
        </w:rPr>
        <w:t>«Контрагент/взыскатель»</w:t>
      </w:r>
      <w:r w:rsidRPr="009318A1">
        <w:rPr>
          <w:sz w:val="28"/>
          <w:szCs w:val="28"/>
        </w:rPr>
        <w:t xml:space="preserve"> указываются реквизиты контрагента в соответствии с документом-основанием. Для заполнения данного раздела достаточно выбрать счет контрагента (поле «Счет») или последовательно контрагента (поле «ИНН») и его счет, остальные реквизиты раздела будут заполнены автоматически.</w:t>
      </w:r>
    </w:p>
    <w:p w:rsidR="0046214D" w:rsidRDefault="0046214D" w:rsidP="0046214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2A7B6B6B" wp14:editId="220A42D8">
            <wp:extent cx="5940425" cy="181296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4D" w:rsidRPr="0046214D" w:rsidRDefault="0046214D" w:rsidP="0046214D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>
        <w:rPr>
          <w:i/>
        </w:rPr>
        <w:t>4</w:t>
      </w:r>
      <w:r w:rsidRPr="009318A1">
        <w:rPr>
          <w:i/>
        </w:rPr>
        <w:t>.</w:t>
      </w:r>
      <w:r>
        <w:t xml:space="preserve"> Вкладка «Контрагент/взыскатель»</w:t>
      </w:r>
    </w:p>
    <w:p w:rsidR="0046214D" w:rsidRPr="009318A1" w:rsidRDefault="0046214D" w:rsidP="0046214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0D0771" w:rsidRPr="00745D14" w:rsidTr="00BA2682">
        <w:tc>
          <w:tcPr>
            <w:tcW w:w="3085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lastRenderedPageBreak/>
              <w:t>Разделы</w:t>
            </w:r>
          </w:p>
        </w:tc>
        <w:tc>
          <w:tcPr>
            <w:tcW w:w="6379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Описание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748DA">
              <w:rPr>
                <w:bCs/>
              </w:rPr>
              <w:t>Счет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номер счета контрагента, выбирается из справочника счетов корреспондентов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748DA">
              <w:rPr>
                <w:bCs/>
              </w:rPr>
              <w:t>Наименование/ ФИО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 данном поле отображается наименование организации, выбранной в поле «ИНН» (владельца счета из поля «Счет»)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748DA">
              <w:rPr>
                <w:bCs/>
              </w:rPr>
              <w:t>ИНН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при заполнении данного поля к отбору предлагаются организации из справочника «Корреспонденты (все)»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748DA">
              <w:rPr>
                <w:bCs/>
              </w:rPr>
              <w:t>БИК банка (ЭД)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 поле отображается номер банковского идентификационного кода банка, в котором открыт счет контрагента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748DA">
              <w:rPr>
                <w:bCs/>
              </w:rPr>
              <w:t>Наименование банка (ЭД)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 поле отображается наименование банка, в котором открыт счет контрагента</w:t>
            </w:r>
          </w:p>
        </w:tc>
      </w:tr>
      <w:tr w:rsidR="000D0771" w:rsidTr="00BA2682">
        <w:tc>
          <w:tcPr>
            <w:tcW w:w="3085" w:type="dxa"/>
          </w:tcPr>
          <w:p w:rsidR="000D0771" w:rsidRPr="003748DA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proofErr w:type="spellStart"/>
            <w:r w:rsidRPr="003748DA">
              <w:rPr>
                <w:bCs/>
              </w:rPr>
              <w:t>Коррсчет</w:t>
            </w:r>
            <w:proofErr w:type="spellEnd"/>
            <w:r w:rsidRPr="003748DA">
              <w:rPr>
                <w:bCs/>
              </w:rPr>
              <w:t xml:space="preserve"> банка (ЭД)</w:t>
            </w:r>
          </w:p>
        </w:tc>
        <w:tc>
          <w:tcPr>
            <w:tcW w:w="6379" w:type="dxa"/>
          </w:tcPr>
          <w:p w:rsidR="000D077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 поле отображается номер корреспондентского счета банка, в котором открыт счет контрагента (при наличии)</w:t>
            </w:r>
          </w:p>
        </w:tc>
      </w:tr>
    </w:tbl>
    <w:p w:rsidR="000D0771" w:rsidRPr="009318A1" w:rsidRDefault="000D0771" w:rsidP="000D077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18A1">
        <w:rPr>
          <w:sz w:val="28"/>
          <w:szCs w:val="28"/>
        </w:rPr>
        <w:t xml:space="preserve">На вкладке </w:t>
      </w:r>
      <w:r w:rsidRPr="009318A1">
        <w:rPr>
          <w:b/>
          <w:sz w:val="28"/>
          <w:szCs w:val="28"/>
        </w:rPr>
        <w:t>«Расшифровка обязательства»</w:t>
      </w:r>
      <w:r w:rsidRPr="009318A1">
        <w:rPr>
          <w:sz w:val="28"/>
          <w:szCs w:val="28"/>
        </w:rPr>
        <w:t xml:space="preserve"> вводится график платежей по кодам бюджетной классификации (рис.</w:t>
      </w:r>
      <w:r w:rsidR="00556826">
        <w:rPr>
          <w:sz w:val="28"/>
          <w:szCs w:val="28"/>
        </w:rPr>
        <w:t>5</w:t>
      </w:r>
      <w:r w:rsidRPr="009318A1">
        <w:rPr>
          <w:sz w:val="28"/>
          <w:szCs w:val="28"/>
        </w:rPr>
        <w:t>).</w:t>
      </w:r>
    </w:p>
    <w:p w:rsidR="000D0771" w:rsidRPr="00556826" w:rsidRDefault="0046214D" w:rsidP="000D077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2224897" wp14:editId="6EDCDD64">
            <wp:extent cx="5940425" cy="180377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 w:rsidR="00556826">
        <w:rPr>
          <w:i/>
        </w:rPr>
        <w:t>5</w:t>
      </w:r>
      <w:r w:rsidRPr="009318A1">
        <w:rPr>
          <w:i/>
        </w:rPr>
        <w:t>.</w:t>
      </w:r>
      <w:r>
        <w:t xml:space="preserve"> Вкладка «Расшифровка обязательства»</w:t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0D0771" w:rsidRPr="00745D14" w:rsidTr="00BA2682">
        <w:tc>
          <w:tcPr>
            <w:tcW w:w="3085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Разделы</w:t>
            </w:r>
          </w:p>
        </w:tc>
        <w:tc>
          <w:tcPr>
            <w:tcW w:w="6379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Описание</w:t>
            </w:r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C30F1">
              <w:rPr>
                <w:bCs/>
              </w:rPr>
              <w:t>Вид БК</w:t>
            </w:r>
          </w:p>
        </w:tc>
        <w:tc>
          <w:tcPr>
            <w:tcW w:w="6379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t>вид бюджетной классификации, выбирается из выпадающего списка – «Расходная» или «Источники»</w:t>
            </w:r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C30F1">
              <w:rPr>
                <w:bCs/>
              </w:rPr>
              <w:t>Код по БК</w:t>
            </w:r>
          </w:p>
        </w:tc>
        <w:tc>
          <w:tcPr>
            <w:tcW w:w="6379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t>код бюджетной классификации, по которому принимается БО</w:t>
            </w:r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C30F1">
              <w:rPr>
                <w:bCs/>
              </w:rPr>
              <w:t>Безусловность</w:t>
            </w:r>
          </w:p>
        </w:tc>
        <w:tc>
          <w:tcPr>
            <w:tcW w:w="6379" w:type="dxa"/>
          </w:tcPr>
          <w:p w:rsidR="000D0771" w:rsidRPr="003B5C4D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7F6578">
              <w:t xml:space="preserve">признак безусловности обязательства. В комплексе не учитывается и не анализируется, предназначено для соответствия </w:t>
            </w:r>
            <w:proofErr w:type="gramStart"/>
            <w:r w:rsidRPr="007F6578">
              <w:t>федеральным</w:t>
            </w:r>
            <w:proofErr w:type="gramEnd"/>
            <w:r w:rsidRPr="007F6578">
              <w:t xml:space="preserve"> НПА при ведении БО в </w:t>
            </w:r>
            <w:proofErr w:type="spellStart"/>
            <w:r w:rsidRPr="007F6578">
              <w:t>ОрФК</w:t>
            </w:r>
            <w:proofErr w:type="spellEnd"/>
            <w:r w:rsidRPr="007F6578">
              <w:t xml:space="preserve">. </w:t>
            </w:r>
            <w:proofErr w:type="gramStart"/>
            <w:r w:rsidR="00556826">
              <w:t>Не рекомендуется</w:t>
            </w:r>
            <w:r w:rsidRPr="007F6578">
              <w:t xml:space="preserve"> в одном БО разбивать КБК на признак безусловности - в этом случае при выгрузке неисполненных БО п</w:t>
            </w:r>
            <w:r>
              <w:t>ризнак для строки БК потеряется</w:t>
            </w:r>
            <w:proofErr w:type="gramEnd"/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C30F1">
              <w:rPr>
                <w:bCs/>
              </w:rPr>
              <w:t>Суммы на 20</w:t>
            </w:r>
            <w:r w:rsidR="00556826">
              <w:rPr>
                <w:bCs/>
              </w:rPr>
              <w:t>22</w:t>
            </w:r>
            <w:r w:rsidRPr="007C30F1">
              <w:rPr>
                <w:bCs/>
              </w:rPr>
              <w:t xml:space="preserve"> год</w:t>
            </w:r>
          </w:p>
        </w:tc>
        <w:tc>
          <w:tcPr>
            <w:tcW w:w="6379" w:type="dxa"/>
            <w:vMerge w:val="restart"/>
          </w:tcPr>
          <w:p w:rsidR="000D0771" w:rsidRPr="00745D14" w:rsidRDefault="000D0771" w:rsidP="0055682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график исполнения БО в валюте обязательства по каждому виду средств, предусмотренному для его исполнения, на текущий год с помесячной разбивкой и на последующие </w:t>
            </w:r>
            <w:r w:rsidR="00556826">
              <w:t>три года</w:t>
            </w:r>
            <w:r>
              <w:t xml:space="preserve"> без разбивки по периодам</w:t>
            </w:r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7C30F1">
              <w:rPr>
                <w:bCs/>
              </w:rPr>
              <w:t>Сумма в валюте обязательства</w:t>
            </w:r>
          </w:p>
        </w:tc>
        <w:tc>
          <w:tcPr>
            <w:tcW w:w="6379" w:type="dxa"/>
            <w:vMerge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0D0771" w:rsidRPr="00745D14" w:rsidTr="00BA2682">
        <w:tc>
          <w:tcPr>
            <w:tcW w:w="3085" w:type="dxa"/>
          </w:tcPr>
          <w:p w:rsidR="000D0771" w:rsidRPr="007C30F1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Суммы прошлых лет</w:t>
            </w:r>
          </w:p>
        </w:tc>
        <w:tc>
          <w:tcPr>
            <w:tcW w:w="6379" w:type="dxa"/>
            <w:vMerge/>
          </w:tcPr>
          <w:p w:rsidR="000D0771" w:rsidRPr="00745D14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0D0771" w:rsidRPr="00002AD0" w:rsidTr="00BA2682">
        <w:tc>
          <w:tcPr>
            <w:tcW w:w="3085" w:type="dxa"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highlight w:val="yellow"/>
              </w:rPr>
            </w:pPr>
            <w:r w:rsidRPr="00700E6D">
              <w:rPr>
                <w:bCs/>
              </w:rPr>
              <w:t>Дата выплаты по ИД</w:t>
            </w:r>
          </w:p>
        </w:tc>
        <w:tc>
          <w:tcPr>
            <w:tcW w:w="6379" w:type="dxa"/>
          </w:tcPr>
          <w:p w:rsidR="000D0771" w:rsidRPr="00002AD0" w:rsidRDefault="000D0771" w:rsidP="00BA268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highlight w:val="yellow"/>
              </w:rPr>
            </w:pPr>
            <w:r>
              <w:t>у</w:t>
            </w:r>
            <w:r w:rsidRPr="00700E6D">
              <w:t xml:space="preserve">казывается дата выплаты по </w:t>
            </w:r>
            <w:r>
              <w:t>исполнительному документу</w:t>
            </w:r>
          </w:p>
        </w:tc>
      </w:tr>
    </w:tbl>
    <w:p w:rsidR="000D0771" w:rsidRDefault="000D0771" w:rsidP="000D07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71" w:rsidRDefault="000D0771" w:rsidP="000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r w:rsidRPr="0093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Товары, работы, услуги</w:t>
      </w:r>
      <w:r w:rsidRPr="0093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расшифровывается предмет контракта/договора (документа-основания). </w:t>
      </w:r>
    </w:p>
    <w:p w:rsidR="00BF3FA1" w:rsidRDefault="00A67C44" w:rsidP="00A6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AB6454" wp14:editId="14D8A1E5">
            <wp:extent cx="5940425" cy="1936815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44" w:rsidRDefault="00A67C44" w:rsidP="00A67C44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>
        <w:rPr>
          <w:i/>
        </w:rPr>
        <w:t>6</w:t>
      </w:r>
      <w:r w:rsidRPr="009318A1">
        <w:rPr>
          <w:i/>
        </w:rPr>
        <w:t>.</w:t>
      </w:r>
      <w:r>
        <w:t xml:space="preserve"> Вкладка «Товары, работы, услуги»</w:t>
      </w:r>
    </w:p>
    <w:p w:rsidR="00A67C44" w:rsidRPr="009318A1" w:rsidRDefault="00A67C44" w:rsidP="00A6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832"/>
        <w:gridCol w:w="6356"/>
      </w:tblGrid>
      <w:tr w:rsidR="000D0771" w:rsidRPr="00745D14" w:rsidTr="00A67C44">
        <w:tc>
          <w:tcPr>
            <w:tcW w:w="1383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Разделы</w:t>
            </w:r>
          </w:p>
        </w:tc>
        <w:tc>
          <w:tcPr>
            <w:tcW w:w="1832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Подразделы</w:t>
            </w:r>
          </w:p>
        </w:tc>
        <w:tc>
          <w:tcPr>
            <w:tcW w:w="6356" w:type="dxa"/>
          </w:tcPr>
          <w:p w:rsidR="000D0771" w:rsidRPr="00745D14" w:rsidRDefault="000D0771" w:rsidP="00BA2682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745D14">
              <w:rPr>
                <w:b/>
              </w:rPr>
              <w:t>Описание</w:t>
            </w:r>
          </w:p>
        </w:tc>
      </w:tr>
      <w:tr w:rsidR="00C66CB6" w:rsidRPr="00745D14" w:rsidTr="00A67C44">
        <w:tc>
          <w:tcPr>
            <w:tcW w:w="1383" w:type="dxa"/>
            <w:vMerge w:val="restart"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Товары, работы, услуги</w:t>
            </w:r>
          </w:p>
        </w:tc>
        <w:tc>
          <w:tcPr>
            <w:tcW w:w="1832" w:type="dxa"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Тип объекта</w:t>
            </w:r>
          </w:p>
        </w:tc>
        <w:tc>
          <w:tcPr>
            <w:tcW w:w="6356" w:type="dxa"/>
          </w:tcPr>
          <w:p w:rsidR="00C66CB6" w:rsidRPr="00700E6D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из выпадающего списка выбирается соответствующий тип объекта (товары, работы, услуги)</w:t>
            </w:r>
          </w:p>
        </w:tc>
      </w:tr>
      <w:tr w:rsidR="00C66CB6" w:rsidRPr="00745D14" w:rsidTr="00A67C44">
        <w:tc>
          <w:tcPr>
            <w:tcW w:w="1383" w:type="dxa"/>
            <w:vMerge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32" w:type="dxa"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Основное средство</w:t>
            </w:r>
          </w:p>
        </w:tc>
        <w:tc>
          <w:tcPr>
            <w:tcW w:w="6356" w:type="dxa"/>
          </w:tcPr>
          <w:p w:rsidR="00C66CB6" w:rsidRPr="00A4466D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из выпадающего списка необходимо выбраться является или не является выбранный объект основным средством (да/нет)</w:t>
            </w:r>
          </w:p>
        </w:tc>
      </w:tr>
      <w:tr w:rsidR="00C66CB6" w:rsidRPr="00745D14" w:rsidTr="00A67C44">
        <w:tc>
          <w:tcPr>
            <w:tcW w:w="1383" w:type="dxa"/>
            <w:vMerge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32" w:type="dxa"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Идентификатор</w:t>
            </w:r>
          </w:p>
        </w:tc>
        <w:tc>
          <w:tcPr>
            <w:tcW w:w="6356" w:type="dxa"/>
          </w:tcPr>
          <w:p w:rsidR="00C66CB6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заполняется выбором из справочника «Продукция»</w:t>
            </w:r>
          </w:p>
        </w:tc>
      </w:tr>
      <w:tr w:rsidR="00C66CB6" w:rsidRPr="00745D14" w:rsidTr="00A67C44">
        <w:tc>
          <w:tcPr>
            <w:tcW w:w="1383" w:type="dxa"/>
            <w:vMerge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32" w:type="dxa"/>
          </w:tcPr>
          <w:p w:rsidR="00C66CB6" w:rsidRPr="00CE68C9" w:rsidRDefault="00C66CB6" w:rsidP="00BA2682">
            <w:pPr>
              <w:pStyle w:val="a3"/>
              <w:spacing w:before="0" w:beforeAutospacing="0" w:after="0" w:afterAutospacing="0"/>
              <w:contextualSpacing/>
            </w:pPr>
            <w:r>
              <w:t>Наименование</w:t>
            </w:r>
          </w:p>
        </w:tc>
        <w:tc>
          <w:tcPr>
            <w:tcW w:w="6356" w:type="dxa"/>
          </w:tcPr>
          <w:p w:rsidR="00C66CB6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 xml:space="preserve">заполняется автоматически в </w:t>
            </w:r>
            <w:proofErr w:type="gramStart"/>
            <w:r>
              <w:t>соответствии</w:t>
            </w:r>
            <w:proofErr w:type="gramEnd"/>
            <w:r>
              <w:t xml:space="preserve"> с выбранным значением в поле «Идентификатор»</w:t>
            </w:r>
          </w:p>
        </w:tc>
      </w:tr>
      <w:tr w:rsidR="00A67C44" w:rsidRPr="00745D14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 w:rsidRPr="00CE68C9">
              <w:t>Единица измерения</w:t>
            </w:r>
          </w:p>
        </w:tc>
        <w:tc>
          <w:tcPr>
            <w:tcW w:w="6356" w:type="dxa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выбирается из справочника единиц измерений</w:t>
            </w:r>
          </w:p>
        </w:tc>
      </w:tr>
      <w:tr w:rsidR="00A67C44" w:rsidRPr="00745D14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 w:rsidRPr="00CE68C9">
              <w:t>Предмет</w:t>
            </w:r>
          </w:p>
        </w:tc>
        <w:tc>
          <w:tcPr>
            <w:tcW w:w="6356" w:type="dxa"/>
          </w:tcPr>
          <w:p w:rsidR="00A67C44" w:rsidRPr="00700E6D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заполняется вручную при наличии</w:t>
            </w:r>
          </w:p>
        </w:tc>
      </w:tr>
      <w:tr w:rsidR="00A67C44" w:rsidRPr="00745D14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 w:rsidRPr="00CE68C9">
              <w:t>Цена</w:t>
            </w:r>
            <w:r>
              <w:t xml:space="preserve"> за единицу</w:t>
            </w:r>
          </w:p>
        </w:tc>
        <w:tc>
          <w:tcPr>
            <w:tcW w:w="6356" w:type="dxa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указывается цена продукции</w:t>
            </w:r>
          </w:p>
        </w:tc>
      </w:tr>
      <w:tr w:rsidR="00A67C44" w:rsidRPr="00CE68C9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 w:rsidRPr="00CE68C9">
              <w:t>Количество</w:t>
            </w:r>
          </w:p>
        </w:tc>
        <w:tc>
          <w:tcPr>
            <w:tcW w:w="6356" w:type="dxa"/>
          </w:tcPr>
          <w:p w:rsidR="00A67C44" w:rsidRPr="00CE68C9" w:rsidRDefault="00A67C44" w:rsidP="00A67C44">
            <w:pPr>
              <w:pStyle w:val="a3"/>
              <w:spacing w:before="0" w:beforeAutospacing="0" w:after="0" w:afterAutospacing="0"/>
              <w:contextualSpacing/>
            </w:pPr>
            <w:r>
              <w:t>указывается объем продукции</w:t>
            </w:r>
          </w:p>
        </w:tc>
      </w:tr>
      <w:tr w:rsidR="00A67C44" w:rsidRPr="00CE68C9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Объем</w:t>
            </w:r>
          </w:p>
        </w:tc>
        <w:tc>
          <w:tcPr>
            <w:tcW w:w="6356" w:type="dxa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указывается количество продукции</w:t>
            </w:r>
          </w:p>
        </w:tc>
      </w:tr>
      <w:tr w:rsidR="00A67C44" w:rsidRPr="00CE68C9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>
              <w:t>НДС</w:t>
            </w:r>
          </w:p>
        </w:tc>
        <w:tc>
          <w:tcPr>
            <w:tcW w:w="6356" w:type="dxa"/>
          </w:tcPr>
          <w:p w:rsidR="00A67C44" w:rsidRPr="00CE68C9" w:rsidRDefault="00A67C44" w:rsidP="00A67C44">
            <w:pPr>
              <w:pStyle w:val="a3"/>
              <w:spacing w:before="0" w:beforeAutospacing="0" w:after="0" w:afterAutospacing="0"/>
              <w:contextualSpacing/>
            </w:pPr>
            <w:r>
              <w:t>указывается ставка и размер НДС</w:t>
            </w:r>
          </w:p>
        </w:tc>
      </w:tr>
      <w:tr w:rsidR="00A67C44" w:rsidRPr="00CE68C9" w:rsidTr="00A67C44">
        <w:tc>
          <w:tcPr>
            <w:tcW w:w="3215" w:type="dxa"/>
            <w:gridSpan w:val="2"/>
          </w:tcPr>
          <w:p w:rsidR="00A67C44" w:rsidRPr="00CE68C9" w:rsidRDefault="00A67C44" w:rsidP="00BA2682">
            <w:pPr>
              <w:pStyle w:val="a3"/>
              <w:spacing w:before="0" w:beforeAutospacing="0" w:after="0" w:afterAutospacing="0"/>
              <w:contextualSpacing/>
            </w:pPr>
            <w:r w:rsidRPr="00CE68C9">
              <w:t>Стоимость</w:t>
            </w:r>
          </w:p>
        </w:tc>
        <w:tc>
          <w:tcPr>
            <w:tcW w:w="6356" w:type="dxa"/>
          </w:tcPr>
          <w:p w:rsidR="00A67C44" w:rsidRPr="00CE68C9" w:rsidRDefault="00A67C44" w:rsidP="00A67C44">
            <w:pPr>
              <w:pStyle w:val="a3"/>
              <w:spacing w:before="0" w:beforeAutospacing="0" w:after="0" w:afterAutospacing="0"/>
              <w:contextualSpacing/>
            </w:pPr>
            <w:r>
              <w:t>просчитывается автоматически при заполнении полей «Цена за единицу», «Количество» и «НДС»</w:t>
            </w:r>
          </w:p>
        </w:tc>
      </w:tr>
    </w:tbl>
    <w:p w:rsidR="00B1582A" w:rsidRDefault="00B1582A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C5A5E" w:rsidRDefault="00B1582A" w:rsidP="000D077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18A1">
        <w:rPr>
          <w:sz w:val="28"/>
          <w:szCs w:val="28"/>
        </w:rPr>
        <w:t xml:space="preserve">На вкладке </w:t>
      </w:r>
      <w:r w:rsidRPr="009318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Дополнительные реквизиты</w:t>
      </w:r>
      <w:r w:rsidRPr="009318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размещена информация об</w:t>
      </w:r>
      <w:r w:rsidRPr="00B1582A">
        <w:rPr>
          <w:sz w:val="28"/>
          <w:szCs w:val="28"/>
        </w:rPr>
        <w:t xml:space="preserve"> ответственных лицах, заполняется автоматически</w:t>
      </w:r>
      <w:r>
        <w:rPr>
          <w:sz w:val="28"/>
          <w:szCs w:val="28"/>
        </w:rPr>
        <w:t xml:space="preserve"> в соответствии с </w:t>
      </w:r>
      <w:r w:rsidR="00B63CC5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корреспондента, при необходимости можно скорректировать вручную.</w:t>
      </w:r>
    </w:p>
    <w:p w:rsidR="00B249B4" w:rsidRPr="009318A1" w:rsidRDefault="00B249B4" w:rsidP="00B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сохранения документа, БО </w:t>
      </w:r>
      <w:r w:rsidRPr="0093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СУФД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выбрать соответствующий документ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нажать на кнопку </w:t>
      </w:r>
      <w:r>
        <w:rPr>
          <w:noProof/>
          <w:lang w:eastAsia="ru-RU"/>
        </w:rPr>
        <w:drawing>
          <wp:inline distT="0" distB="0" distL="0" distR="0" wp14:anchorId="323921B9" wp14:editId="54CF77EB">
            <wp:extent cx="40957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«Передача»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выгрузки документа, отобразится протокол, в </w:t>
      </w:r>
      <w:proofErr w:type="gramStart"/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путь к файлу (рис.7). Данный файл заг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ружается в СУФД в раздел </w:t>
      </w:r>
      <w:r w:rsidRPr="00205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Регистрация и учет обязательств \ Карточки учета БО \ Сведения об обязательствах (исходящие)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(рис.8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9B4" w:rsidRDefault="00B249B4" w:rsidP="00B2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D4F83E" wp14:editId="49717112">
            <wp:extent cx="5313872" cy="3396513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5789" cy="33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B4" w:rsidRDefault="00B249B4" w:rsidP="00B249B4">
      <w:pPr>
        <w:pStyle w:val="a3"/>
        <w:spacing w:before="0" w:beforeAutospacing="0" w:after="0" w:afterAutospacing="0" w:line="360" w:lineRule="auto"/>
        <w:contextualSpacing/>
        <w:jc w:val="center"/>
      </w:pPr>
      <w:r w:rsidRPr="009318A1">
        <w:rPr>
          <w:i/>
        </w:rPr>
        <w:t xml:space="preserve">Рисунок </w:t>
      </w:r>
      <w:r>
        <w:rPr>
          <w:i/>
        </w:rPr>
        <w:t xml:space="preserve">7. </w:t>
      </w:r>
      <w:r>
        <w:t>Передача БО</w:t>
      </w:r>
    </w:p>
    <w:p w:rsidR="00B249B4" w:rsidRDefault="00B249B4" w:rsidP="00B24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A63EE5" wp14:editId="5E449B17">
            <wp:extent cx="3629025" cy="1562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B4" w:rsidRPr="00B249B4" w:rsidRDefault="00B249B4" w:rsidP="00B249B4">
      <w:pPr>
        <w:pStyle w:val="a3"/>
        <w:spacing w:before="0" w:beforeAutospacing="0" w:after="0" w:afterAutospacing="0" w:line="360" w:lineRule="auto"/>
        <w:contextualSpacing/>
        <w:jc w:val="center"/>
      </w:pPr>
      <w:r w:rsidRPr="007A2173">
        <w:rPr>
          <w:i/>
        </w:rPr>
        <w:t xml:space="preserve">Рисунок </w:t>
      </w:r>
      <w:r>
        <w:rPr>
          <w:i/>
        </w:rPr>
        <w:t>8</w:t>
      </w:r>
      <w:r w:rsidRPr="007A2173">
        <w:rPr>
          <w:i/>
        </w:rPr>
        <w:t>.</w:t>
      </w:r>
      <w:r>
        <w:rPr>
          <w:i/>
        </w:rPr>
        <w:t xml:space="preserve"> </w:t>
      </w:r>
      <w:r>
        <w:t>Раздел БО в СУФД</w:t>
      </w:r>
    </w:p>
    <w:p w:rsidR="00B249B4" w:rsidRDefault="00B249B4" w:rsidP="000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proofErr w:type="gramStart"/>
      <w:r w:rsidRPr="00B2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БО и направляет</w:t>
      </w:r>
      <w:proofErr w:type="gramEnd"/>
      <w:r w:rsidRPr="00B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Извещение о постановке на учет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49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9). Данное извещение нужно подгрузить в программу в тот же режим, в котором было создано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на кнопку «Прием» </w:t>
      </w:r>
      <w:r>
        <w:rPr>
          <w:noProof/>
          <w:lang w:eastAsia="ru-RU"/>
        </w:rPr>
        <w:drawing>
          <wp:inline distT="0" distB="0" distL="0" distR="0" wp14:anchorId="5345D9E6" wp14:editId="5B44E387">
            <wp:extent cx="409575" cy="304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B4" w:rsidRDefault="00B249B4" w:rsidP="00B2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C23AE8" wp14:editId="4408DA35">
            <wp:extent cx="2700068" cy="2700068"/>
            <wp:effectExtent l="0" t="0" r="508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8063" cy="26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20" w:rsidRPr="001B2CEE" w:rsidRDefault="00B249B4" w:rsidP="001B2CEE">
      <w:pPr>
        <w:pStyle w:val="a3"/>
        <w:spacing w:before="0" w:beforeAutospacing="0" w:after="0" w:afterAutospacing="0" w:line="360" w:lineRule="auto"/>
        <w:contextualSpacing/>
        <w:jc w:val="center"/>
      </w:pPr>
      <w:r w:rsidRPr="007A2173">
        <w:rPr>
          <w:i/>
        </w:rPr>
        <w:t xml:space="preserve">Рисунок </w:t>
      </w:r>
      <w:r w:rsidR="008438C4">
        <w:rPr>
          <w:i/>
        </w:rPr>
        <w:t>9</w:t>
      </w:r>
      <w:r w:rsidRPr="007A2173">
        <w:rPr>
          <w:i/>
        </w:rPr>
        <w:t>.</w:t>
      </w:r>
      <w:r>
        <w:rPr>
          <w:i/>
        </w:rPr>
        <w:t xml:space="preserve"> </w:t>
      </w:r>
      <w:r>
        <w:t>Раздел БО в СУФД</w:t>
      </w:r>
    </w:p>
    <w:p w:rsidR="00D93720" w:rsidRDefault="00D93720" w:rsidP="00D9372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23C1B">
        <w:rPr>
          <w:b/>
          <w:sz w:val="28"/>
          <w:szCs w:val="28"/>
        </w:rPr>
        <w:t>Формирование документа «Бюджетное обязательство»</w:t>
      </w:r>
      <w:r>
        <w:rPr>
          <w:b/>
          <w:sz w:val="28"/>
          <w:szCs w:val="28"/>
        </w:rPr>
        <w:t xml:space="preserve"> по </w:t>
      </w:r>
      <w:r w:rsidRPr="0022480B">
        <w:rPr>
          <w:b/>
          <w:sz w:val="28"/>
          <w:szCs w:val="28"/>
          <w:u w:val="single"/>
        </w:rPr>
        <w:t>бюджетным и автономным учреждениям</w:t>
      </w:r>
      <w:r>
        <w:rPr>
          <w:b/>
          <w:sz w:val="28"/>
          <w:szCs w:val="28"/>
        </w:rPr>
        <w:t xml:space="preserve"> для контроля главным распорядителем бюджетных средств</w:t>
      </w:r>
    </w:p>
    <w:p w:rsidR="00D93720" w:rsidRDefault="00D93720" w:rsidP="00D9372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93720" w:rsidRDefault="00D93720" w:rsidP="00D9372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данного вида БО аналогичен действиям, описанным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1., кроме заполнения поля «</w:t>
      </w:r>
      <w:r w:rsidRPr="00C10FD1">
        <w:rPr>
          <w:b/>
          <w:sz w:val="28"/>
          <w:szCs w:val="28"/>
        </w:rPr>
        <w:t>Лицевой счет</w:t>
      </w:r>
      <w:r>
        <w:rPr>
          <w:sz w:val="28"/>
          <w:szCs w:val="28"/>
        </w:rPr>
        <w:t xml:space="preserve">». Для учета БО по БУ/АУ в поле «Лицевой счет» следует указывать 20..., 21... л/с БУ или 30...,31... л/с АУ. </w:t>
      </w:r>
      <w:r w:rsidR="001B2CEE">
        <w:rPr>
          <w:sz w:val="28"/>
          <w:szCs w:val="28"/>
        </w:rPr>
        <w:t xml:space="preserve">Учетный номер БО для данных документов, в </w:t>
      </w:r>
      <w:proofErr w:type="gramStart"/>
      <w:r w:rsidR="001B2CEE">
        <w:rPr>
          <w:sz w:val="28"/>
          <w:szCs w:val="28"/>
        </w:rPr>
        <w:t>случае</w:t>
      </w:r>
      <w:proofErr w:type="gramEnd"/>
      <w:r w:rsidR="001B2CEE">
        <w:rPr>
          <w:sz w:val="28"/>
          <w:szCs w:val="28"/>
        </w:rPr>
        <w:t xml:space="preserve"> необходимости, может быть присвоен главным распорядителем бюджетных средств вручную. </w:t>
      </w:r>
      <w:r>
        <w:rPr>
          <w:sz w:val="28"/>
          <w:szCs w:val="28"/>
        </w:rPr>
        <w:t>БО такого типа не нуждаются в выгрузке в СУФД и приеме Извещений о постановке БО на учет.</w:t>
      </w:r>
    </w:p>
    <w:p w:rsidR="00D93720" w:rsidRPr="009318A1" w:rsidRDefault="00D93720" w:rsidP="00D9372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 по БУ/АУ, сформированные в программе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-Торги КС» аналогично автоматически загружаются в ПК «Бюджет-СМАРТ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 с аналитическим признаком «Документ сформирован из АИС ГЗ».</w:t>
      </w:r>
    </w:p>
    <w:p w:rsidR="00EE5ADD" w:rsidRDefault="00EE5ADD" w:rsidP="00D9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92" w:rsidRDefault="00D93720" w:rsidP="00A54D9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4D92">
        <w:rPr>
          <w:b/>
          <w:sz w:val="28"/>
          <w:szCs w:val="28"/>
        </w:rPr>
        <w:t>Регистрация изменений бюджетных обязательств</w:t>
      </w:r>
    </w:p>
    <w:p w:rsidR="00D10E31" w:rsidRDefault="00D10E31" w:rsidP="00D9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20" w:rsidRDefault="00D10E31" w:rsidP="00D1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бюджетное обязательство осуществляется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Навигатор: ДОКУМЕНТЫ \ Бюджетные и денежные обязательства \ Бюджетное обязательство (изменения)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93720" w:rsidRDefault="00D10E31" w:rsidP="00D1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«Бюджетное обязательство (изменения)» заполняются следующие поля:</w:t>
      </w:r>
    </w:p>
    <w:p w:rsidR="00D10E31" w:rsidRPr="00623C1B" w:rsidRDefault="00D10E31" w:rsidP="008D652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23C1B">
        <w:rPr>
          <w:b/>
          <w:sz w:val="28"/>
          <w:szCs w:val="28"/>
        </w:rPr>
        <w:t xml:space="preserve">Номер – </w:t>
      </w:r>
      <w:r w:rsidRPr="00623C1B">
        <w:rPr>
          <w:sz w:val="28"/>
          <w:szCs w:val="28"/>
        </w:rPr>
        <w:t>порядковый номер документа, заполняется автоматически при сохранении документа;</w:t>
      </w:r>
    </w:p>
    <w:p w:rsidR="00D10E31" w:rsidRDefault="00D10E31" w:rsidP="008D652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 xml:space="preserve">Дата – </w:t>
      </w:r>
      <w:r w:rsidRPr="00623C1B">
        <w:rPr>
          <w:sz w:val="28"/>
          <w:szCs w:val="28"/>
        </w:rPr>
        <w:t>дата</w:t>
      </w:r>
      <w:r>
        <w:rPr>
          <w:sz w:val="28"/>
          <w:szCs w:val="28"/>
        </w:rPr>
        <w:t xml:space="preserve"> внесений изменений в БО</w:t>
      </w:r>
      <w:r w:rsidRPr="00623C1B">
        <w:rPr>
          <w:sz w:val="28"/>
          <w:szCs w:val="28"/>
        </w:rPr>
        <w:t>;</w:t>
      </w:r>
    </w:p>
    <w:p w:rsidR="008D6520" w:rsidRPr="00623C1B" w:rsidRDefault="008D6520" w:rsidP="008D652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23C1B">
        <w:rPr>
          <w:b/>
          <w:sz w:val="28"/>
          <w:szCs w:val="28"/>
        </w:rPr>
        <w:t>Дата проводки</w:t>
      </w:r>
      <w:r w:rsidRPr="00623C1B">
        <w:rPr>
          <w:sz w:val="28"/>
          <w:szCs w:val="28"/>
        </w:rPr>
        <w:t xml:space="preserve"> – дата принятия</w:t>
      </w:r>
      <w:r>
        <w:rPr>
          <w:sz w:val="28"/>
          <w:szCs w:val="28"/>
        </w:rPr>
        <w:t xml:space="preserve"> изменений</w:t>
      </w:r>
      <w:r w:rsidRPr="00623C1B">
        <w:rPr>
          <w:sz w:val="28"/>
          <w:szCs w:val="28"/>
        </w:rPr>
        <w:t xml:space="preserve"> БО к учету;</w:t>
      </w:r>
    </w:p>
    <w:p w:rsidR="008D6520" w:rsidRPr="008D6520" w:rsidRDefault="008D6520" w:rsidP="008D6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Учетный № БО –</w:t>
      </w:r>
      <w:r>
        <w:rPr>
          <w:sz w:val="28"/>
          <w:szCs w:val="28"/>
        </w:rPr>
        <w:t xml:space="preserve"> </w:t>
      </w:r>
      <w:r w:rsidRPr="008D6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поле служит для выбора бюджетного обязательства, подлежащего изменению, из списка документов «Бюджетное обязательство», «Бюджетное обязательств</w:t>
      </w:r>
      <w:proofErr w:type="gramStart"/>
      <w:r w:rsidRPr="008D652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D6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изменения)».</w:t>
      </w:r>
    </w:p>
    <w:p w:rsidR="002A07E5" w:rsidRDefault="002A07E5" w:rsidP="002A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поля документа заполняются автоматически в </w:t>
      </w:r>
      <w:proofErr w:type="gramStart"/>
      <w:r w:rsidRPr="002A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A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изменяемого документа и доступны для редактирования</w:t>
      </w:r>
      <w:r w:rsidR="00DB2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9C8" w:rsidRPr="002A07E5" w:rsidRDefault="00DB29C8" w:rsidP="00DB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сохранения БО (изменения) также необходимо направить в СУФД, а после подтверждения в УФК – принять извещение о постановке БО на учет.</w:t>
      </w:r>
    </w:p>
    <w:p w:rsidR="008D6520" w:rsidRPr="00623C1B" w:rsidRDefault="008D6520" w:rsidP="008D652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3720" w:rsidRDefault="00DB29C8" w:rsidP="00DB29C8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B2CEE">
        <w:rPr>
          <w:b/>
          <w:sz w:val="28"/>
          <w:szCs w:val="28"/>
        </w:rPr>
        <w:t xml:space="preserve">4. </w:t>
      </w:r>
      <w:r w:rsidR="001B2CEE">
        <w:rPr>
          <w:b/>
          <w:sz w:val="28"/>
          <w:szCs w:val="28"/>
        </w:rPr>
        <w:t>Отчеты по</w:t>
      </w:r>
      <w:r w:rsidR="007D1EC3" w:rsidRPr="001B2CEE">
        <w:rPr>
          <w:b/>
          <w:sz w:val="28"/>
          <w:szCs w:val="28"/>
        </w:rPr>
        <w:t xml:space="preserve"> учету бюджетных обязательств</w:t>
      </w:r>
    </w:p>
    <w:p w:rsidR="0095253D" w:rsidRPr="007D1EC3" w:rsidRDefault="0095253D" w:rsidP="00DB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71" w:rsidRDefault="000D0771" w:rsidP="000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печати принятых на учет БО доступен режим </w:t>
      </w:r>
      <w:r w:rsidRPr="001B2C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ОТЧЕТЫ \ Аналитический</w:t>
      </w:r>
      <w:r w:rsidRPr="00205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отчет по учету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формирования нужно выбрать период, бюджет и нажать на кнопку «Печать». 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 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отобразятся в файле </w:t>
      </w:r>
      <w:r w:rsidRPr="00931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</w:t>
      </w:r>
      <w:r w:rsid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18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2D2" w:rsidRDefault="008B72D2" w:rsidP="000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71" w:rsidRPr="009318A1" w:rsidRDefault="008B72D2" w:rsidP="000D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E46B04" wp14:editId="43847182">
            <wp:extent cx="5940425" cy="267009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1" w:rsidRDefault="000D0771" w:rsidP="000D0771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 w:rsidR="007D1EC3">
        <w:rPr>
          <w:i/>
        </w:rPr>
        <w:t>10</w:t>
      </w:r>
      <w:r>
        <w:t>. Печатная форма сведений о БО</w:t>
      </w:r>
    </w:p>
    <w:p w:rsidR="007D1EC3" w:rsidRDefault="007D1EC3" w:rsidP="007D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3E" w:rsidRDefault="007D1EC3" w:rsidP="008B7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мониторинга исполнения БО в системе разработан отчет Навигатор: </w:t>
      </w:r>
      <w:r w:rsidRPr="007D1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ОТЧЕТЫ \ Роспись, лимиты, БО, </w:t>
      </w:r>
      <w:proofErr w:type="gramStart"/>
      <w:r w:rsidRPr="007D1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</w:t>
      </w:r>
      <w:proofErr w:type="gramEnd"/>
      <w:r w:rsidRPr="007D1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КУ (детализация по БО),</w:t>
      </w:r>
      <w:r w:rsidRP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корректного формирования которого необходимо своевременно загружать извещения о постановке на учет БО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(рис.11)</w:t>
      </w:r>
      <w:r w:rsidRPr="007D1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3E" w:rsidRDefault="00E73C3E" w:rsidP="00E7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4A2B79" wp14:editId="6D20A0CD">
            <wp:extent cx="5917721" cy="1224951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19" w:rsidRDefault="00E73C3E" w:rsidP="008B72D2">
      <w:pPr>
        <w:pStyle w:val="a3"/>
        <w:spacing w:before="0" w:beforeAutospacing="0" w:after="0" w:afterAutospacing="0"/>
        <w:ind w:firstLine="709"/>
        <w:contextualSpacing/>
        <w:jc w:val="center"/>
      </w:pPr>
      <w:r w:rsidRPr="009318A1">
        <w:rPr>
          <w:i/>
        </w:rPr>
        <w:t xml:space="preserve">Рисунок </w:t>
      </w:r>
      <w:r>
        <w:rPr>
          <w:i/>
        </w:rPr>
        <w:t>11</w:t>
      </w:r>
      <w:r>
        <w:t>. Печатная форма сведений о БО</w:t>
      </w:r>
    </w:p>
    <w:sectPr w:rsidR="00163F19" w:rsidSect="00BA268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82" w:rsidRDefault="00BA2682">
      <w:pPr>
        <w:spacing w:after="0" w:line="240" w:lineRule="auto"/>
      </w:pPr>
      <w:r>
        <w:separator/>
      </w:r>
    </w:p>
  </w:endnote>
  <w:endnote w:type="continuationSeparator" w:id="0">
    <w:p w:rsidR="00BA2682" w:rsidRDefault="00BA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3878"/>
      <w:docPartObj>
        <w:docPartGallery w:val="Page Numbers (Bottom of Page)"/>
        <w:docPartUnique/>
      </w:docPartObj>
    </w:sdtPr>
    <w:sdtEndPr/>
    <w:sdtContent>
      <w:p w:rsidR="00BA2682" w:rsidRDefault="00BA26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82" w:rsidRDefault="00BA26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82" w:rsidRDefault="00BA2682">
      <w:pPr>
        <w:spacing w:after="0" w:line="240" w:lineRule="auto"/>
      </w:pPr>
      <w:r>
        <w:separator/>
      </w:r>
    </w:p>
  </w:footnote>
  <w:footnote w:type="continuationSeparator" w:id="0">
    <w:p w:rsidR="00BA2682" w:rsidRDefault="00BA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40A"/>
    <w:multiLevelType w:val="hybridMultilevel"/>
    <w:tmpl w:val="43DA98E2"/>
    <w:lvl w:ilvl="0" w:tplc="C3426F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B"/>
    <w:rsid w:val="00046729"/>
    <w:rsid w:val="000D0771"/>
    <w:rsid w:val="00163F19"/>
    <w:rsid w:val="001B2CEE"/>
    <w:rsid w:val="002A07E5"/>
    <w:rsid w:val="002C5A5E"/>
    <w:rsid w:val="002D685E"/>
    <w:rsid w:val="0042621D"/>
    <w:rsid w:val="0046214D"/>
    <w:rsid w:val="00556826"/>
    <w:rsid w:val="005A14E1"/>
    <w:rsid w:val="005F57BF"/>
    <w:rsid w:val="00661F3C"/>
    <w:rsid w:val="006B48DC"/>
    <w:rsid w:val="00733BCD"/>
    <w:rsid w:val="007864ED"/>
    <w:rsid w:val="00792DF1"/>
    <w:rsid w:val="007D1EC3"/>
    <w:rsid w:val="008438C4"/>
    <w:rsid w:val="00857CB8"/>
    <w:rsid w:val="008819AB"/>
    <w:rsid w:val="008902D3"/>
    <w:rsid w:val="008B72D2"/>
    <w:rsid w:val="008D6520"/>
    <w:rsid w:val="00914020"/>
    <w:rsid w:val="0095253D"/>
    <w:rsid w:val="009D42B8"/>
    <w:rsid w:val="009F4FA6"/>
    <w:rsid w:val="00A54D92"/>
    <w:rsid w:val="00A67C44"/>
    <w:rsid w:val="00AA2646"/>
    <w:rsid w:val="00B1582A"/>
    <w:rsid w:val="00B249B4"/>
    <w:rsid w:val="00B63CC5"/>
    <w:rsid w:val="00BA2682"/>
    <w:rsid w:val="00BE2BC8"/>
    <w:rsid w:val="00BF3FA1"/>
    <w:rsid w:val="00C23CC3"/>
    <w:rsid w:val="00C448BA"/>
    <w:rsid w:val="00C66CB6"/>
    <w:rsid w:val="00C93D2E"/>
    <w:rsid w:val="00CA0603"/>
    <w:rsid w:val="00D10E31"/>
    <w:rsid w:val="00D93720"/>
    <w:rsid w:val="00DB29C8"/>
    <w:rsid w:val="00E24B31"/>
    <w:rsid w:val="00E4064B"/>
    <w:rsid w:val="00E73C3E"/>
    <w:rsid w:val="00EE5ADD"/>
    <w:rsid w:val="00F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71"/>
  </w:style>
  <w:style w:type="paragraph" w:styleId="a7">
    <w:name w:val="Balloon Text"/>
    <w:basedOn w:val="a"/>
    <w:link w:val="a8"/>
    <w:uiPriority w:val="99"/>
    <w:semiHidden/>
    <w:unhideWhenUsed/>
    <w:rsid w:val="000D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71"/>
  </w:style>
  <w:style w:type="paragraph" w:styleId="a7">
    <w:name w:val="Balloon Text"/>
    <w:basedOn w:val="a"/>
    <w:link w:val="a8"/>
    <w:uiPriority w:val="99"/>
    <w:semiHidden/>
    <w:unhideWhenUsed/>
    <w:rsid w:val="000D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Регина Игоревна</dc:creator>
  <cp:lastModifiedBy>Пользователь Windows</cp:lastModifiedBy>
  <cp:revision>18</cp:revision>
  <dcterms:created xsi:type="dcterms:W3CDTF">2022-02-14T07:02:00Z</dcterms:created>
  <dcterms:modified xsi:type="dcterms:W3CDTF">2022-02-15T08:15:00Z</dcterms:modified>
</cp:coreProperties>
</file>